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Фтизиатрия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21.07.2026, 14:17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О., 69 лет, изменения в легких выявлены при обследовании при подготовке к операции по поводу коленного сустава.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утомляемость, снижение аппетита, раздражительность.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О., 69 лет, при подготовке к операции проходила весь необходимый перечень анализов и исследований. При обследовании органов дыхания выявлены изменения в легких, которые расценены как пневмония. Пульмонологом назначено лечение пневмонии. На фоне лечения пневмонии отмечена отрицательная динамика за счет увеличения объема поражения и появления деструктивных изменений. В мокроте в ОЛС КУМ не выявлены. После консультации фтизиатра направлена на лечение в диагностическое отделение противотуберкулезного стационара.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Пенсионерка. Высшее образование. Росла и развивалась без особенностей.</w:t>
        <w:br/>
        <w:t>* Длительно страдает СД, находится на инсулинотерапии. Диету нарушает. Диабетическая ангиопатия, ангиопатия нижних конечностей. Хр. гастрит.</w:t>
        <w:br/>
        <w:t>* Замужем, живут с мужем в 2-комнатной квартире.</w:t>
        <w:br/>
        <w:t>* Флюорографическое обследование проходила год назад, на дообследование не вызывали.</w:t>
        <w:br/>
        <w:t>* Данных о контакте с больными туберкулезом нет. Туберкулезом не болел, в семье больных туберкулезом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Ограниченная активность боли в коленном суставе. Гиперстеник. Кожа и слизистые обычной окраски, влажная, тургор не снижен. Периферические лимфоузлы не пальпируются. Грудная клетка симметрично участвует в акте дыхания. ЧДД 22 в мин. Притупление перкуторного тона в межлопаточном пространстве слева и у нижнего угла левой лопатки, здесь выслушиваются среднепузырчатые влажные хрипы. Область сердца визуально не изменена. ЧСС 96 в мин. Тоны сердца приглушены. Сокращения ритмичные. АД 110/70 мм рт. ст. Живот мягкий, безболезненный при пальпации. Печень по краю реберной дуги, б/б при пальпации. С-м Пастернацкого отрицательный с обеих сторон.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туберкулеза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мокроты методом ПЦР на МБТ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анализ мокроты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посев мокроты на МБТ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устойчивости МБТ к ПТП первого и второго ряда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микроскопическое исследование мокроты на микобактерии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исследование мокроты методом ПЦР на МБТ; 4 — посев мокроты на МБТ; 5 — определение устойчивости МБТ к ПТП первого и второго ряда; 6 — микроскопическое исследование мокроты на микобактерии</w:t>
      </w:r>
    </w:p>
    <w:p>
      <w:pPr>
        <w:ind w:left="504"/>
      </w:pPr>
      <w:r>
        <w:rPr>
          <w:b w:val="0"/>
          <w:i/>
        </w:rPr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(Mycobacterium tuberculosis complex) методом ПЦР в режиме реального времени или методом ПЦР с дальнейшей гибридизацией к препаратам первого ряда – изониазиду и рифампицину или, как минимум, к рифампицину.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Культуральные методы применяют так же, как и микроскопические, на всех этапах диагностики туберкулеза и контроля химиотерапии. Их чувствительность и специфичность превышает на 20- 30% таковую микроскопических методов. Положительные результаты культуральных методов, так же, как и микроскопических, определяют статус бактериовыделения.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Преимуществом культуральных исследований является возможность выделения культуры микобактерий с последующей идентификацией и определением чувствительности МБТ к широкому спектру ПТП. Проводить повторный тест определения лекарственной чувствительности целесообразно по окончании интенсивной фазы химиотерапии при сохранении бактериовыделения.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(Mycobacterium spp.) или другого диагностического материала на микобактерии – не менее двух проб.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условиях противотуберкулезного стационара для постановки диагноза туберкулеза необходимо провести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рентгенографическое обследование: обзорную рентгенограмму в 2-х проекциях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мультиспиральную 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рентгенографическое обследование: обзорную рентгенограмму в 2-х проекциях; 3 — мультиспиральную компьютерную томографию; 5 — фибробронхоскопию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грудной клетки в двух проекциях для определения клинической формы, активности и распространенности процесса.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Томография легких позволяет детализировать локализацию, протяжённость, структуру туберкулезного процесса. При этом технология спирального сканирования даёт возможность строить трёхмерные изображения исследуемых структур, включая скрытые для классической рентгенологии зоны. Имеется возможность с высокой степенью разрешения достоверно определить плотность патологических изменений и избежать эффекта суммации.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Бронхоскопия позволяет получить визуальную информацию о состоянии обследуемого объекта и взять биопсийный материал для микробиологического, цитологического и гистологического исследований Наиболее часто используются эндоскопические методы с видеосопровождением (бронхоскопия, торакоскопия, медиастиноскопия).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анамнестические данные, результаты проведенных лабораторных и инструментальных исследований, больной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Цирротический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Диссеминированный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Очаговый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Инфильтративный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Инфильтративный туберкулез нижней доли левого легкого в фазе распада и обсеменения МБТ(+) МЛУ. Сопутствующее заболевание: Сахарный диабет I типа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Клинических проявлений - слабость, утомляемость, снижение аппетита, раздражительность.</w:t>
        <w:br/>
        <w:t>* Относится к группе повышенного риска страдает сахарным диабетом 1 типа. Диабетическая ангиопатия, ангиопатия нижних конечностей. Хр. гастрит.</w:t>
        <w:br/>
        <w:t>* Микробиологического исследования: люминесцентная микроскопия: в мокроте не  выявлены КУМ.</w:t>
        <w:br/>
        <w:t>* Исследование мокроты методом ПЦР на МБТ - методом ПЦР по технологии GeneXpert ДНК МБТ не выявлена.</w:t>
        <w:br/>
        <w:t>* Фибробронхоскопия - Двусторонний простой диффузный эндобронхит1-2 ст.</w:t>
        <w:br/>
        <w:t>* БАЛ: Методом люминесцентной микроскопии: обнаружены КУМ1+(12 х 100 п/зр).</w:t>
        <w:br/>
        <w:t>* ПЦР – выявлена ДНК МБТ, устойчивость к рифампицину определена.</w:t>
        <w:br/>
        <w:t>* КТ-исследование органов грудной полости - в S6 и S10 левого легкого визуализируется зона уплотнения легочной ткани, неоднородной структуры: визуализируются просветы расширенных бронхов, полости распада неправильной формы с бухтообразными внутренними контурами, в легочной ткани в нижних отделах левого легкого и в средних отделах правого легкого имеются многочисленные очаговые тени с нечеткими контурами, некоторые сливаются между собой.</w:t>
        <w:br/>
        <w:br/>
        <w:t>Инфильтративный туберкулез легких (характеризуется наличием воспалительных фокусов в легких более 1,0 см в диаметре, преимущественно экссудативного характера с казеозным некрозом и наличием или отсутствием деструкции легочной ткани и бронхогенного обсеменения.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Диагноз туберкулеза у данной больной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предполагаемым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вероятным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верифицированным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верифицированным</w:t>
      </w:r>
    </w:p>
    <w:p>
      <w:pPr>
        <w:ind w:left="504"/>
      </w:pPr>
      <w:r>
        <w:rPr>
          <w:b w:val="0"/>
          <w:i/>
        </w:rPr>
        <w:t>Диагноз считается верифицированным, если у пациента, наряду с клинико-лабораторными и рентгенологическими признаками туберкулеза, идентифицированы МБТ любым микробиологическим и молекулярно-генетическим методом и/или получены результаты гистологического исследования, указывающие на наличие туберкулезной гранулемы в пораженном органе.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Назначение химиотерапии больной по поводу впервые выявленного туберкулеза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непосредственно после установления диагноза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получения результатов роста МБТ на жидких питательных средах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получения результатов теста на лекарственную чувствительность МБТ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получения результатов роста МБТ на твердых питательных средах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непосредственно после установления диагноза туберкулеза</w:t>
      </w:r>
    </w:p>
    <w:p>
      <w:pPr>
        <w:ind w:left="504"/>
      </w:pPr>
      <w:r>
        <w:rPr>
          <w:b w:val="0"/>
          <w:i/>
        </w:rPr>
        <w:t>Настоятельно рекомендуется начинать химиотерапию в максимально ранние сроки после установления и верификации диагноза.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Данной пациентке после установления диагноза туберкулеза должен быть назначен +__________+ режим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изониазид-резистентный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лекарственно-чувствительный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 и изониазиду  или только рифампицину  любым методом.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фазе интенсивной терапии по МЛУ режиму химиотерапии назначают +______+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</w:t>
      </w:r>
    </w:p>
    <w:p>
      <w:pPr>
        <w:ind w:left="504"/>
      </w:pPr>
      <w:r>
        <w:rPr>
          <w:b w:val="0"/>
          <w:i/>
        </w:rPr>
        <w:t>Рекомендуется в интенсивной фазе режима химиотерапии МЛУ туберкулеза назначать комбинацию, одновременно включающую не менее 5 противотуберкулезных лекарственных препаратов первого и второго ряда с доказанной или предполагаемой лекарственной чувствительностью возбудителя.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лечения по МЛУ режиму составляет не менее +__+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</w:t>
      </w:r>
    </w:p>
    <w:p>
      <w:pPr>
        <w:ind w:left="504"/>
      </w:pPr>
      <w:r>
        <w:rPr>
          <w:b w:val="0"/>
          <w:i/>
        </w:rPr>
        <w:t>Рекомендуется при назначении режима химиотерапии МЛУ туберкулеза лечение пациента проводить длительностью не менее 9 месяцев для полного подавления микробной популяции и предотвращения рецидива.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Тактика врача при получении этих данных заключается в назначении +_________________+ режима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изониазид-резистентного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лекарственно-чувствительного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МЛУ</w:t>
      </w:r>
    </w:p>
    <w:p>
      <w:pPr>
        <w:ind w:left="504"/>
      </w:pPr>
      <w:r>
        <w:rPr>
          <w:b w:val="0"/>
          <w:i/>
        </w:rPr>
        <w:t>Назначение режима химиотерапии МЛУ ТБ для лечения туберкулеза с установленной ЛУ возбудителя к рифампицину  и изониазиду  или только рифампицину  любым методом и подтвержденной чувствительностью к фторхинолонам а также пациентам с клинически установленной МЛУ.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больного туберкулезом с сахарным диабетом перед началом химиотерапии проводят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креатинина и калия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уровня кальция и магния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гликемического профиля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липоарабиноманнана в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уровня креатинина и калия крови</w:t>
      </w:r>
    </w:p>
    <w:p>
      <w:pPr>
        <w:ind w:left="504"/>
      </w:pPr>
      <w:r>
        <w:rPr>
          <w:b w:val="0"/>
          <w:i/>
        </w:rPr>
        <w:t>Перед началом химиотерапии также проводят исследование уровня калия крови перед назначением режима химиотерапии МЛУ ТБ, пре-ШЛУ ТБ, ШЛУ ТБ;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Туберкулез у взрослых, 2024г.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Уровень креатинина, расчет клиренса креатинина и K+крови, у пациентов группы риска (старше 60 лет, с хронической болезнью почек,  сахарным диабетом).</w:t>
        <w:br/>
        <w:br/>
      </w:r>
      <w:hyperlink r:id="rId3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Больная проживает в 2-х комнатной квартире с мужем. Очаг туберкулеза относится к _____ степени эпидемической 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</w:t>
      </w:r>
    </w:p>
    <w:p>
      <w:pPr>
        <w:ind w:left="504"/>
      </w:pPr>
      <w:r>
        <w:rPr>
          <w:b w:val="0"/>
          <w:i/>
        </w:rPr>
        <w:t>I группа - очаги с высоким риском заражения туберкулёзом, отягощенные неблагоприятными факторами - социально отягощенные очаги.</w:t>
        <w:br/>
        <w:br/>
        <w:t>К этой группе относятся очаги, сформированные больными туберкулёзом органов дыхания, выделяющими микобактерии туберкулёза, при сочетании в очаге всех или части следующих неблагоприятных факторов: проживание в очаге детей, лиц с иммунодефицитными заболеваниями; тяжелые бытовые условия, отсутствие возможности выделения отдельного помещения для проживания больного;  нарушения противоэпидемического режима, нарушение больным правил личной гигиены.</w:t>
        <w:br/>
        <w:br/>
      </w:r>
      <w:hyperlink r:id="rId4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Контроль текущей дезинфекции в очаге у больной осуществляется с периодичностью 1 раз в +___+ месяц(а)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В очагах туберкулеза с целью его ранней локализации и предупреждения распространения заболевания специалистами медицинских специализированных противотуберкулезных организаций (отделений, кабинетов) проводятся санитарно-противоэпидемические (профилактические) мероприятия:  контроль текущей дезинфекции в очаге (1 раз в квартал).</w:t>
        <w:br/>
        <w:br/>
      </w:r>
      <w:hyperlink r:id="rId4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Фтизиатрия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KP16_3/" TargetMode="External"/><Relationship Id="rId24" Type="http://schemas.openxmlformats.org/officeDocument/2006/relationships/hyperlink" Target="https://library.mededtech.ru/rest/documents/KP16_3/index.html#list_item_9795qu" TargetMode="External"/><Relationship Id="rId25" Type="http://schemas.openxmlformats.org/officeDocument/2006/relationships/hyperlink" Target="https://library.mededtech.ru/rest/documents/KP16_3/index.html#list_item_vos3vf" TargetMode="External"/><Relationship Id="rId26" Type="http://schemas.openxmlformats.org/officeDocument/2006/relationships/hyperlink" Target="https://library.mededtech.ru/rest/documents/KP16_3/index.html#list_item_6n1vud" TargetMode="External"/><Relationship Id="rId27" Type="http://schemas.openxmlformats.org/officeDocument/2006/relationships/image" Target="media/image8.png"/><Relationship Id="rId28" Type="http://schemas.openxmlformats.org/officeDocument/2006/relationships/image" Target="media/image9.png"/><Relationship Id="rId29" Type="http://schemas.openxmlformats.org/officeDocument/2006/relationships/hyperlink" Target="https://library.mededtech.ru/rest/documents/KP16_3/index.html#list_item_dujhma" TargetMode="External"/><Relationship Id="rId30" Type="http://schemas.openxmlformats.org/officeDocument/2006/relationships/hyperlink" Target="https://library.mededtech.ru/rest/documents/KP16_3/index.html#list_item_anu7ob" TargetMode="External"/><Relationship Id="rId31" Type="http://schemas.openxmlformats.org/officeDocument/2006/relationships/hyperlink" Target="https://library.mededtech.ru/rest/documents/KP16_3/index.html#list_item_bit4co" TargetMode="External"/><Relationship Id="rId32" Type="http://schemas.openxmlformats.org/officeDocument/2006/relationships/hyperlink" Target="https://library.mededtech.ru/rest/documents/KP16_3/index.html#list_item_gg5gmd" TargetMode="External"/><Relationship Id="rId33" Type="http://schemas.openxmlformats.org/officeDocument/2006/relationships/hyperlink" Target="https://library.mededtech.ru/rest/documents/KP16_3/index.html#list_item_amhvsn" TargetMode="External"/><Relationship Id="rId34" Type="http://schemas.openxmlformats.org/officeDocument/2006/relationships/hyperlink" Target="https://library.mededtech.ru/rest/documents/KP16_3/index.html#list_item_14j2i" TargetMode="External"/><Relationship Id="rId35" Type="http://schemas.openxmlformats.org/officeDocument/2006/relationships/hyperlink" Target="https://library.mededtech.ru/rest/documents/KP16_3/index.html#list_item_li42i8" TargetMode="External"/><Relationship Id="rId36" Type="http://schemas.openxmlformats.org/officeDocument/2006/relationships/hyperlink" Target="https://library.mededtech.ru/rest/documents/KP16_3/index.html#list_item_h11ofg" TargetMode="External"/><Relationship Id="rId37" Type="http://schemas.openxmlformats.org/officeDocument/2006/relationships/hyperlink" Target="https://library.mededtech.ru/rest/documents/KP16_3/index.html#list_item_7mugvt" TargetMode="External"/><Relationship Id="rId38" Type="http://schemas.openxmlformats.org/officeDocument/2006/relationships/hyperlink" Target="https://library.mededtech.ru/rest/documents/KP16_3/index.html#list_item_b30uf6" TargetMode="External"/><Relationship Id="rId39" Type="http://schemas.openxmlformats.org/officeDocument/2006/relationships/hyperlink" Target="https://library.mededtech.ru/rest/documents/KP16_3/index.html#table_89aqvi" TargetMode="External"/><Relationship Id="rId40" Type="http://schemas.openxmlformats.org/officeDocument/2006/relationships/hyperlink" Target="https://library.mededtech.ru/rest/documents/sanpin3686_21/" TargetMode="External"/><Relationship Id="rId41" Type="http://schemas.openxmlformats.org/officeDocument/2006/relationships/hyperlink" Target="https://library.mededtech.ru/rest/documents/sanpin3686_21/index.html#paragraph_0241s8" TargetMode="External"/><Relationship Id="rId42" Type="http://schemas.openxmlformats.org/officeDocument/2006/relationships/hyperlink" Target="https://library.mededtech.ru/rest/documents/sanpin3686_21/index.html#paragraph_3dujj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